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XXIV PRIEDAS. Informacijos apie specializuoto skolinimo ir nuosavybės vertybinių popierių pozicijas atskleidimas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EU CR10 forma. Specializuoto skolinimo ir nuosavybės vertybinių popierių pozicijos</w:t>
      </w:r>
      <w:r>
        <w:rPr>
          <w:rFonts w:ascii="Times New Roman" w:hAnsi="Times New Roman"/>
          <w:sz w:val="24"/>
        </w:rPr>
        <w:t xml:space="preserve"> (nustatytojo formato forma)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Pildydamos EBI IT sprendimų XXIII priede pateiktą EU CR10 formą įstaigos atskleidžia Reglamento (ES) Nr. 575/2013 (toliau – KRR)</w:t>
      </w:r>
      <w:r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438 straipsnio e punkte nurodytą informaciją, vadovaudamosi toliau šiame priede pateiktais nurodymais. Įstaigos atskleidžia: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informaciją apie toliau nurodytų rūšių specializuoto skolinimo pozicijas, nurodytas 153 straipsnio 5 dalies 1 lentelėje: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„Projektų finansavimas“ EU CR10.1 formoje;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„Pajamas kuriantis nekilnojamasis turtas ir komercinis labai nepastovus komercinės paskirties nekilnojamasis turtas“ EU CR10.2 formoje;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„Projektų finansavimas“ EU CR10.3 formoje;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„Biržos prekių finansavimas“ EU CR10.4 formoje;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informaciją apie nuosavybės vertybinių popierių pozicijas EU CR10.5 formoje.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512"/>
      </w:tblGrid>
      <w:tr w:rsidR="00A81FD5" w:rsidRPr="007F4CC8" w14:paraId="78CCACB1" w14:textId="77777777" w:rsidTr="001E7174">
        <w:trPr>
          <w:trHeight w:val="9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Skilties nuoroda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Nuorodos į teisės aktus ir nurodymai</w:t>
            </w:r>
          </w:p>
        </w:tc>
      </w:tr>
      <w:tr w:rsidR="00A81FD5" w:rsidRPr="007F4CC8" w14:paraId="7EA5F71F" w14:textId="77777777" w:rsidTr="001E7174">
        <w:trPr>
          <w:trHeight w:val="359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Paaiškinimas</w:t>
            </w:r>
          </w:p>
        </w:tc>
      </w:tr>
      <w:tr w:rsidR="00A81FD5" w:rsidRPr="007F4CC8" w14:paraId="5BE84BFB" w14:textId="77777777" w:rsidTr="001E7174">
        <w:trPr>
          <w:trHeight w:val="316"/>
        </w:trPr>
        <w:tc>
          <w:tcPr>
            <w:tcW w:w="1555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512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Balansinės pozicijos</w:t>
            </w:r>
          </w:p>
          <w:p w14:paraId="745AD69D" w14:textId="2689F671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Įstaigos atskleidžia balansinių pozicijų vertę pagal Reglamento (ES) Nr.</w:t>
            </w:r>
            <w:r w:rsidR="00F0627C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575/2013 166 straipsnio 1–7 dalis ir 167 straipsnio 1 dalį.</w:t>
            </w:r>
          </w:p>
        </w:tc>
      </w:tr>
      <w:tr w:rsidR="00A81FD5" w:rsidRPr="007F4CC8" w14:paraId="0D47376E" w14:textId="77777777" w:rsidTr="001E7174">
        <w:trPr>
          <w:trHeight w:val="316"/>
        </w:trPr>
        <w:tc>
          <w:tcPr>
            <w:tcW w:w="1555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512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Nebalansinės pozicijos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Įstaigos atskleidžia nebalansinių pozicijų vertę pagal Reglamento (ES) Nr. 575/2013 166 straipsnį ir 167 straipsnio 2 dalį, neatsižvelgdamos į jokius perskaičiavimo koeficientus, nurodytus Reglamento (ES) Nr. 575/2013 166 8 straipsnio 8 ar 9 dalyje, ir į jokias procentines dalis, nurodytas Reglamento (ES) Nr. 575/2013 166 straipsnio 10 dalyje.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Nebalansinės pozicijos apima visas įsipareigotas, bet nepanaudotas sumas ir visus nebalansinius straipsnius, kaip nurodyta Reglamento (ES) Nr. 575/2013 I priede.</w:t>
            </w:r>
          </w:p>
        </w:tc>
      </w:tr>
      <w:tr w:rsidR="00A81FD5" w:rsidRPr="007F4CC8" w14:paraId="348A6D93" w14:textId="77777777" w:rsidTr="001E7174">
        <w:trPr>
          <w:trHeight w:val="316"/>
        </w:trPr>
        <w:tc>
          <w:tcPr>
            <w:tcW w:w="1555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512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Rizikos koeficientas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Tai nustatytojo formato skiltis EU CR10.1–EU CR10.4 formoms. Jos keisti negalima. </w:t>
            </w:r>
          </w:p>
          <w:p w14:paraId="2AF282A3" w14:textId="105890A4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Ši skiltis nustatyta pagal Reglamento (ES) Nr. 575/2013 153 straipsnio 5 dalį EU CR10.1–EU CR10.4 formoms. EU CR 10.5 formai ši skiltis yra lanksčiojo formato. Įstaigos taiko atitinkamus rizikos koeficientus pagal </w:t>
            </w:r>
            <w:r>
              <w:rPr>
                <w:rFonts w:ascii="Times New Roman" w:hAnsi="Times New Roman"/>
                <w:sz w:val="24"/>
              </w:rPr>
              <w:lastRenderedPageBreak/>
              <w:t>Reglamento (ES) Nr. 575/2013 133 straipsnio 3–6 dalis ir 495a straipsnio 3 dalį.</w:t>
            </w:r>
          </w:p>
        </w:tc>
      </w:tr>
      <w:tr w:rsidR="00A81FD5" w:rsidRPr="007F4CC8" w14:paraId="7603C34A" w14:textId="77777777" w:rsidTr="001E7174">
        <w:trPr>
          <w:trHeight w:val="316"/>
        </w:trPr>
        <w:tc>
          <w:tcPr>
            <w:tcW w:w="1555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512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Pozicijos vertė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Pozicijos vertė pagal Reglamento (ES) Nr. 575/2013 166 arba 167 straipsnį.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Į šią skiltį įtraukiama balansinių pozicijų ir nebalansinių pozicijų verčių suma pritaikius perskaičiavimo koeficientus ir procentines dalis pagal Reglamento (ES) Nr. 575/2013 166 straipsnio 8–10 dalis. </w:t>
            </w:r>
          </w:p>
        </w:tc>
      </w:tr>
      <w:tr w:rsidR="00A81FD5" w:rsidRPr="007F4CC8" w14:paraId="101D075B" w14:textId="77777777" w:rsidTr="001E7174">
        <w:trPr>
          <w:trHeight w:val="316"/>
        </w:trPr>
        <w:tc>
          <w:tcPr>
            <w:tcW w:w="1555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(EU CR10.1–EU CR10.4 formos)</w:t>
            </w:r>
          </w:p>
        </w:tc>
        <w:tc>
          <w:tcPr>
            <w:tcW w:w="7512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Pagal riziką įvertintų pozicijų suma (specializuoto skolinimo pozicijos pagal skirstymo metodą)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Pagal riziką įvertintų pozicijų suma, apskaičiuota pagal Reglamento (ES) Nr. 575/2013 153 straipsnio 5 dalį, atitinkamais atvejais pritaikius rėmimo koeficientus pagal Reglamento (ES) Nr. 575/2013 501 ir 501a straipsnius.</w:t>
            </w:r>
          </w:p>
        </w:tc>
      </w:tr>
      <w:tr w:rsidR="00A81FD5" w:rsidRPr="007F4CC8" w14:paraId="697C0CA4" w14:textId="77777777" w:rsidTr="001E7174">
        <w:trPr>
          <w:trHeight w:val="316"/>
        </w:trPr>
        <w:tc>
          <w:tcPr>
            <w:tcW w:w="1555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(EU CR10.1–EU CR10.4 formos)</w:t>
            </w:r>
          </w:p>
        </w:tc>
        <w:tc>
          <w:tcPr>
            <w:tcW w:w="7512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Tikėtino nuostolio suma (specializuoto skolinimo pozicijos pagal skirstymo metodą)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Tikėtino nuostolio suma, apskaičiuota pagal Reglamento (ES) Nr. 575/2013 158 straipsnio 6 dalį.</w:t>
            </w:r>
          </w:p>
        </w:tc>
      </w:tr>
      <w:tr w:rsidR="00A81FD5" w:rsidRPr="007F4CC8" w14:paraId="4F8B2187" w14:textId="77777777" w:rsidTr="001E7174">
        <w:trPr>
          <w:trHeight w:val="316"/>
        </w:trPr>
        <w:tc>
          <w:tcPr>
            <w:tcW w:w="1555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(EU CR10.5 forma)</w:t>
            </w:r>
          </w:p>
        </w:tc>
        <w:tc>
          <w:tcPr>
            <w:tcW w:w="7512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Tikėtino nuostolio suma (nuosavybės vertybinių popierių pozicijos, kurioms taikomas paprastasis rizikos koeficientų metodas)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Tikėtino nuostolio suma, atitinkamais atvejais apskaičiuota pagal Reglamento (ES) Nr. 575/2013 158 straipsnio 7 dalį.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512"/>
      </w:tblGrid>
      <w:tr w:rsidR="00A81FD5" w:rsidRPr="007F4CC8" w14:paraId="3C9F1404" w14:textId="77777777" w:rsidTr="001E7174">
        <w:trPr>
          <w:trHeight w:val="9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Eilutės numeris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Nuorodos į teisės aktus ir nurodymai</w:t>
            </w:r>
          </w:p>
        </w:tc>
      </w:tr>
      <w:tr w:rsidR="00A81FD5" w:rsidRPr="007F4CC8" w14:paraId="05D9511C" w14:textId="77777777" w:rsidTr="001E7174">
        <w:trPr>
          <w:trHeight w:val="403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51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Paaiškinimas</w:t>
            </w:r>
          </w:p>
        </w:tc>
      </w:tr>
      <w:tr w:rsidR="00A81FD5" w:rsidRPr="007F4CC8" w14:paraId="5A7F3F5E" w14:textId="77777777" w:rsidTr="001E7174">
        <w:trPr>
          <w:trHeight w:val="316"/>
        </w:trPr>
        <w:tc>
          <w:tcPr>
            <w:tcW w:w="1555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Reguliavimo kategorija</w:t>
            </w:r>
          </w:p>
        </w:tc>
        <w:tc>
          <w:tcPr>
            <w:tcW w:w="7512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EU CR10.1–EU CR10.4 formos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Reguliavimo kategorijos, taikytinos kiekvienai specializuoto skolinimo, kuriam taikomas skirstymo metodas, pozicijų klasei; kaip nurodyta Reglamento (ES) Nr. 575/2013 153 straipsnio 5 dalyje ir galutiniame skirstymo metodo techninių reguliavimo standartų projekte.</w:t>
            </w:r>
          </w:p>
        </w:tc>
      </w:tr>
      <w:tr w:rsidR="00A81FD5" w:rsidRPr="007F4CC8" w14:paraId="06F4029F" w14:textId="77777777" w:rsidTr="001E7174">
        <w:trPr>
          <w:trHeight w:val="316"/>
        </w:trPr>
        <w:tc>
          <w:tcPr>
            <w:tcW w:w="1555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Kategorijos</w:t>
            </w:r>
          </w:p>
        </w:tc>
        <w:tc>
          <w:tcPr>
            <w:tcW w:w="7512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EU CR10.5 forma. (lanksčiojo formato)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Įstaigos įtraukia atitinkamas reguliavimo kategorijas, taikytinas nuosavybės vertybinių popierių pozicijoms pagal Reglamento (ES) Nr. 575/2013 133 straipsnio 3–6 dalis ir 495a straipsnio 3 dalį.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BAFCE" w14:textId="77777777" w:rsidR="003741E0" w:rsidRDefault="003741E0" w:rsidP="00A81FD5">
      <w:r>
        <w:separator/>
      </w:r>
    </w:p>
  </w:endnote>
  <w:endnote w:type="continuationSeparator" w:id="0">
    <w:p w14:paraId="0235BF64" w14:textId="77777777" w:rsidR="003741E0" w:rsidRDefault="003741E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3F495" w14:textId="77777777" w:rsidR="003741E0" w:rsidRDefault="003741E0" w:rsidP="00A81FD5">
      <w:r>
        <w:separator/>
      </w:r>
    </w:p>
  </w:footnote>
  <w:footnote w:type="continuationSeparator" w:id="0">
    <w:p w14:paraId="153151B2" w14:textId="77777777" w:rsidR="003741E0" w:rsidRDefault="003741E0" w:rsidP="00A81FD5">
      <w:r>
        <w:continuationSeparator/>
      </w:r>
    </w:p>
  </w:footnote>
  <w:footnote w:id="1">
    <w:p w14:paraId="5DF9A988" w14:textId="78CD4CC1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 w:rsidR="001E7174">
        <w:t xml:space="preserve"> </w:t>
      </w:r>
      <w:r>
        <w:t>2013 m. birželio 26 d. Europos Parlamento ir Tarybos reglamentas (ES) Nr. 575/2013 dėl riziką ribojančių reikalavimų kredito įstaigoms, kuriuo iš dalies keičiamas Reglamentas (ES) Nr. 648/2012, su pakeitimais, padarytais Reglamentu (ES) 2024/1623, (</w:t>
      </w:r>
      <w:hyperlink r:id="rId1" w:history="1">
        <w:r>
          <w:rPr>
            <w:rStyle w:val="Hyperlink"/>
            <w:color w:val="800080"/>
          </w:rPr>
          <w:t>OL L 176, 2013 6 27, p. 1;</w:t>
        </w:r>
      </w:hyperlink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Reglamentas (ES) 2024/1623 - LT -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1E7174"/>
    <w:rsid w:val="002A29F0"/>
    <w:rsid w:val="003741E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A0749"/>
    <w:rsid w:val="00AF68CB"/>
    <w:rsid w:val="00C15CE4"/>
    <w:rsid w:val="00CF64BB"/>
    <w:rsid w:val="00D6345C"/>
    <w:rsid w:val="00F0627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lt-L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LT/TXT/?uri=OJ:L_202401623" TargetMode="External"/><Relationship Id="rId1" Type="http://schemas.openxmlformats.org/officeDocument/2006/relationships/hyperlink" Target="https://eur-lex.europa.eu/legal-content/L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22CA9A-3E77-4BCE-B8E1-30B6FE47C591}"/>
</file>

<file path=customXml/itemProps3.xml><?xml version="1.0" encoding="utf-8"?>
<ds:datastoreItem xmlns:ds="http://schemas.openxmlformats.org/officeDocument/2006/customXml" ds:itemID="{8F4D105E-4F53-46A3-A3F4-1BA07416A6AC}"/>
</file>

<file path=customXml/itemProps4.xml><?xml version="1.0" encoding="utf-8"?>
<ds:datastoreItem xmlns:ds="http://schemas.openxmlformats.org/officeDocument/2006/customXml" ds:itemID="{9F48812D-74F1-4368-855F-38F7CE6A5EF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576</Words>
  <Characters>3295</Characters>
  <Application>Microsoft Office Word</Application>
  <DocSecurity>0</DocSecurity>
  <Lines>99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Banking Authority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KASTECKIENE Jurgita (DGT)</cp:lastModifiedBy>
  <cp:revision>16</cp:revision>
  <dcterms:created xsi:type="dcterms:W3CDTF">2021-03-11T13:21:00Z</dcterms:created>
  <dcterms:modified xsi:type="dcterms:W3CDTF">2024-10-17T13:56:00Z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